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2" w:type="dxa"/>
        <w:shd w:val="clear" w:color="auto" w:fill="0000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  <w:gridCol w:w="10801"/>
      </w:tblGrid>
      <w:tr w:rsidR="00121B0F" w:rsidRPr="00FD1CF7" w14:paraId="01374B69" w14:textId="77777777" w:rsidTr="00184804">
        <w:trPr>
          <w:trHeight w:val="719"/>
        </w:trPr>
        <w:tc>
          <w:tcPr>
            <w:tcW w:w="10801" w:type="dxa"/>
            <w:shd w:val="clear" w:color="auto" w:fill="0000FF"/>
            <w:vAlign w:val="center"/>
          </w:tcPr>
          <w:p w14:paraId="16E7D748" w14:textId="77777777" w:rsidR="00121B0F" w:rsidRPr="00121B0F" w:rsidRDefault="00121B0F" w:rsidP="00121B0F">
            <w:pPr>
              <w:jc w:val="center"/>
              <w:rPr>
                <w:rFonts w:ascii="微軟正黑體" w:eastAsia="微軟正黑體" w:hAnsi="微軟正黑體"/>
                <w:b/>
                <w:color w:val="FFFF00"/>
                <w:sz w:val="60"/>
                <w:szCs w:val="60"/>
              </w:rPr>
            </w:pPr>
            <w:r w:rsidRPr="00121B0F">
              <w:rPr>
                <w:rFonts w:ascii="微軟正黑體" w:eastAsia="微軟正黑體" w:hAnsi="微軟正黑體" w:hint="eastAsia"/>
                <w:b/>
                <w:color w:val="FFFF00"/>
                <w:sz w:val="60"/>
                <w:szCs w:val="60"/>
                <w:lang w:eastAsia="zh-HK"/>
              </w:rPr>
              <w:t>銷售行為測驗與客戶類型銷售術</w:t>
            </w:r>
          </w:p>
        </w:tc>
        <w:tc>
          <w:tcPr>
            <w:tcW w:w="10801" w:type="dxa"/>
            <w:shd w:val="clear" w:color="auto" w:fill="0000FF"/>
            <w:vAlign w:val="center"/>
          </w:tcPr>
          <w:p w14:paraId="573AAE23" w14:textId="77777777" w:rsidR="00121B0F" w:rsidRPr="00877F59" w:rsidRDefault="00121B0F" w:rsidP="00121B0F">
            <w:pPr>
              <w:jc w:val="center"/>
              <w:rPr>
                <w:rFonts w:ascii="微軟正黑體" w:eastAsia="微軟正黑體" w:hAnsi="微軟正黑體"/>
                <w:b/>
                <w:color w:val="FFFF00"/>
                <w:sz w:val="36"/>
                <w:szCs w:val="36"/>
              </w:rPr>
            </w:pPr>
            <w:r w:rsidRPr="00877F59">
              <w:rPr>
                <w:rFonts w:ascii="微軟正黑體" w:eastAsia="微軟正黑體" w:hAnsi="微軟正黑體" w:hint="eastAsia"/>
                <w:b/>
                <w:color w:val="FFFF00"/>
                <w:sz w:val="36"/>
                <w:szCs w:val="36"/>
              </w:rPr>
              <w:t xml:space="preserve">SPIN顧問式提問力銷售實戰 </w:t>
            </w:r>
            <w:r w:rsidRPr="00877F59">
              <w:rPr>
                <w:rFonts w:ascii="微軟正黑體" w:eastAsia="微軟正黑體" w:hAnsi="微軟正黑體" w:hint="eastAsia"/>
                <w:b/>
                <w:color w:val="FFFF00"/>
                <w:sz w:val="32"/>
                <w:szCs w:val="32"/>
              </w:rPr>
              <w:t>(遠距視訊班)</w:t>
            </w:r>
          </w:p>
        </w:tc>
      </w:tr>
    </w:tbl>
    <w:p w14:paraId="4154B4B1" w14:textId="77777777" w:rsidR="00121B0F" w:rsidRPr="00D6597F" w:rsidRDefault="00121B0F" w:rsidP="00121B0F">
      <w:pP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69A4B0F5" w14:textId="77777777" w:rsidR="00121B0F" w:rsidRPr="00D6597F" w:rsidRDefault="00121B0F" w:rsidP="00121B0F">
      <w:pP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壹、課程效益</w:t>
      </w:r>
    </w:p>
    <w:p w14:paraId="6E259752" w14:textId="77777777" w:rsidR="00121B0F" w:rsidRPr="00D6597F" w:rsidRDefault="00121B0F" w:rsidP="00121B0F">
      <w:pPr>
        <w:pStyle w:val="ac"/>
        <w:numPr>
          <w:ilvl w:val="0"/>
          <w:numId w:val="17"/>
        </w:numPr>
        <w:spacing w:line="400" w:lineRule="exact"/>
        <w:ind w:leftChars="0"/>
        <w:rPr>
          <w:rFonts w:ascii="微軟正黑體" w:eastAsia="微軟正黑體" w:hAnsi="微軟正黑體" w:cs="Segoe UI"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cs="Segoe UI" w:hint="eastAsia"/>
          <w:color w:val="0000FF"/>
          <w:sz w:val="26"/>
          <w:szCs w:val="26"/>
        </w:rPr>
        <w:t>銷售</w:t>
      </w:r>
      <w:r w:rsidRPr="00D6597F">
        <w:rPr>
          <w:rFonts w:ascii="微軟正黑體" w:eastAsia="微軟正黑體" w:hAnsi="微軟正黑體" w:cs="Segoe UI"/>
          <w:color w:val="0000FF"/>
          <w:sz w:val="26"/>
          <w:szCs w:val="26"/>
        </w:rPr>
        <w:t>行為</w:t>
      </w:r>
      <w:r w:rsidRPr="00D6597F">
        <w:rPr>
          <w:rFonts w:ascii="微軟正黑體" w:eastAsia="微軟正黑體" w:hAnsi="微軟正黑體" w:cs="Segoe UI" w:hint="eastAsia"/>
          <w:color w:val="0000FF"/>
          <w:sz w:val="26"/>
          <w:szCs w:val="26"/>
        </w:rPr>
        <w:t>測驗</w:t>
      </w:r>
      <w:r w:rsidRPr="00D6597F">
        <w:rPr>
          <w:rFonts w:ascii="微軟正黑體" w:eastAsia="微軟正黑體" w:hAnsi="微軟正黑體" w:cs="Segoe UI"/>
          <w:color w:val="000000"/>
          <w:sz w:val="26"/>
          <w:szCs w:val="26"/>
        </w:rPr>
        <w:t>：具備</w:t>
      </w:r>
      <w:r w:rsidRPr="00D6597F">
        <w:rPr>
          <w:rFonts w:ascii="微軟正黑體" w:eastAsia="微軟正黑體" w:hAnsi="微軟正黑體" w:cs="Segoe UI" w:hint="eastAsia"/>
          <w:color w:val="0000FF"/>
          <w:sz w:val="26"/>
          <w:szCs w:val="26"/>
        </w:rPr>
        <w:t>瞭解銷售行為</w:t>
      </w:r>
      <w:r w:rsidRPr="00D6597F">
        <w:rPr>
          <w:rFonts w:ascii="微軟正黑體" w:eastAsia="微軟正黑體" w:hAnsi="微軟正黑體" w:cs="Segoe UI"/>
          <w:color w:val="000000"/>
          <w:sz w:val="26"/>
          <w:szCs w:val="26"/>
        </w:rPr>
        <w:t>之能力</w:t>
      </w:r>
      <w:r w:rsidRPr="00D6597F">
        <w:rPr>
          <w:rFonts w:ascii="微軟正黑體" w:eastAsia="微軟正黑體" w:hAnsi="微軟正黑體" w:cs="Segoe UI" w:hint="eastAsia"/>
          <w:color w:val="000000"/>
          <w:sz w:val="26"/>
          <w:szCs w:val="26"/>
        </w:rPr>
        <w:t>，知己知彼，學會適當的銷售模式。</w:t>
      </w:r>
      <w:r w:rsidRPr="00D6597F">
        <w:rPr>
          <w:rFonts w:ascii="微軟正黑體" w:eastAsia="微軟正黑體" w:hAnsi="微軟正黑體" w:cs="Segoe UI"/>
          <w:color w:val="000000"/>
          <w:sz w:val="26"/>
          <w:szCs w:val="26"/>
        </w:rPr>
        <w:t xml:space="preserve"> </w:t>
      </w:r>
    </w:p>
    <w:p w14:paraId="332B0958" w14:textId="77777777" w:rsidR="00121B0F" w:rsidRPr="00D6597F" w:rsidRDefault="00121B0F" w:rsidP="00121B0F">
      <w:pPr>
        <w:pStyle w:val="ac"/>
        <w:numPr>
          <w:ilvl w:val="0"/>
          <w:numId w:val="17"/>
        </w:numPr>
        <w:spacing w:line="400" w:lineRule="exact"/>
        <w:ind w:leftChars="0"/>
        <w:rPr>
          <w:rFonts w:ascii="微軟正黑體" w:eastAsia="微軟正黑體" w:hAnsi="微軟正黑體" w:cs="Segoe UI"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cs="Segoe UI" w:hint="eastAsia"/>
          <w:color w:val="0000FF"/>
          <w:sz w:val="26"/>
          <w:szCs w:val="26"/>
        </w:rPr>
        <w:t>客戶購買</w:t>
      </w:r>
      <w:r w:rsidRPr="00D6597F">
        <w:rPr>
          <w:rFonts w:ascii="微軟正黑體" w:eastAsia="微軟正黑體" w:hAnsi="微軟正黑體" w:cs="Segoe UI"/>
          <w:color w:val="0000FF"/>
          <w:sz w:val="26"/>
          <w:szCs w:val="26"/>
        </w:rPr>
        <w:t>心理學</w:t>
      </w:r>
      <w:r w:rsidRPr="00D6597F">
        <w:rPr>
          <w:rFonts w:ascii="微軟正黑體" w:eastAsia="微軟正黑體" w:hAnsi="微軟正黑體" w:cs="Segoe UI" w:hint="eastAsia"/>
          <w:color w:val="0000FF"/>
          <w:sz w:val="26"/>
          <w:szCs w:val="26"/>
        </w:rPr>
        <w:t>：</w:t>
      </w:r>
      <w:r w:rsidRPr="00D6597F">
        <w:rPr>
          <w:rFonts w:ascii="微軟正黑體" w:eastAsia="微軟正黑體" w:hAnsi="微軟正黑體" w:cs="Segoe UI"/>
          <w:color w:val="000000"/>
          <w:sz w:val="26"/>
          <w:szCs w:val="26"/>
        </w:rPr>
        <w:t>能精準分析顧客消費行為，具備預測</w:t>
      </w:r>
      <w:r w:rsidRPr="00D6597F">
        <w:rPr>
          <w:rFonts w:ascii="微軟正黑體" w:eastAsia="微軟正黑體" w:hAnsi="微軟正黑體" w:cs="Segoe UI" w:hint="eastAsia"/>
          <w:color w:val="000000"/>
          <w:sz w:val="26"/>
          <w:szCs w:val="26"/>
        </w:rPr>
        <w:t>客戶反應</w:t>
      </w:r>
      <w:r w:rsidRPr="00D6597F">
        <w:rPr>
          <w:rFonts w:ascii="微軟正黑體" w:eastAsia="微軟正黑體" w:hAnsi="微軟正黑體" w:cs="Segoe UI"/>
          <w:color w:val="000000"/>
          <w:sz w:val="26"/>
          <w:szCs w:val="26"/>
        </w:rPr>
        <w:t>之能力，擬定</w:t>
      </w:r>
      <w:r w:rsidRPr="00D6597F">
        <w:rPr>
          <w:rFonts w:ascii="微軟正黑體" w:eastAsia="微軟正黑體" w:hAnsi="微軟正黑體" w:cs="Segoe UI" w:hint="eastAsia"/>
          <w:color w:val="000000"/>
          <w:sz w:val="26"/>
          <w:szCs w:val="26"/>
        </w:rPr>
        <w:t>銷售話術與銷售策略。</w:t>
      </w:r>
    </w:p>
    <w:p w14:paraId="151245D2" w14:textId="77777777" w:rsidR="00121B0F" w:rsidRPr="00D6597F" w:rsidRDefault="00121B0F" w:rsidP="00121B0F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貮、課程特色</w:t>
      </w:r>
    </w:p>
    <w:p w14:paraId="790D3C63" w14:textId="77777777" w:rsidR="00121B0F" w:rsidRPr="00D6597F" w:rsidRDefault="00121B0F" w:rsidP="00121B0F">
      <w:pPr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bCs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運用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美式互動教學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，活潑生動，激勵學習意願。</w:t>
      </w:r>
    </w:p>
    <w:p w14:paraId="0BD29D86" w14:textId="77777777" w:rsidR="00121B0F" w:rsidRPr="00D6597F" w:rsidRDefault="00121B0F" w:rsidP="00121B0F">
      <w:pPr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採用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顧問式教學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互動問答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研討思考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策略實做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，提升學以致用成效。</w:t>
      </w:r>
    </w:p>
    <w:p w14:paraId="29F1E563" w14:textId="77777777" w:rsidR="00121B0F" w:rsidRPr="00D6597F" w:rsidRDefault="00121B0F" w:rsidP="00121B0F">
      <w:pPr>
        <w:numPr>
          <w:ilvl w:val="0"/>
          <w:numId w:val="16"/>
        </w:numP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藉由</w:t>
      </w:r>
      <w:r w:rsidRPr="00D6597F">
        <w:rPr>
          <w:rFonts w:ascii="微軟正黑體" w:eastAsia="微軟正黑體" w:hAnsi="微軟正黑體" w:hint="eastAsia"/>
          <w:bCs/>
          <w:color w:val="0000FF"/>
          <w:sz w:val="26"/>
          <w:szCs w:val="26"/>
        </w:rPr>
        <w:t>教練式教學</w:t>
      </w:r>
      <w:r w:rsidRPr="00D6597F">
        <w:rPr>
          <w:rFonts w:ascii="微軟正黑體" w:eastAsia="微軟正黑體" w:hAnsi="微軟正黑體" w:hint="eastAsia"/>
          <w:bCs/>
          <w:sz w:val="26"/>
          <w:szCs w:val="26"/>
        </w:rPr>
        <w:t>，讓學員瞭解多元思考及方法，提升多元能力。</w:t>
      </w:r>
    </w:p>
    <w:p w14:paraId="3FF9DA49" w14:textId="77777777" w:rsidR="00D6597F" w:rsidRPr="00D6597F" w:rsidRDefault="00D6597F" w:rsidP="00D6597F">
      <w:pPr>
        <w:spacing w:line="400" w:lineRule="exact"/>
        <w:ind w:left="840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6F37FBC2" w14:textId="77777777" w:rsidR="00121B0F" w:rsidRPr="00D6597F" w:rsidRDefault="00121B0F" w:rsidP="00121B0F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D6597F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參、課程大綱-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4110"/>
        <w:gridCol w:w="2699"/>
      </w:tblGrid>
      <w:tr w:rsidR="00121B0F" w:rsidRPr="00D6597F" w14:paraId="749872A2" w14:textId="77777777" w:rsidTr="00D6597F">
        <w:trPr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2821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課程大綱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A4E23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訓練重點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44783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教學方法</w:t>
            </w:r>
          </w:p>
        </w:tc>
      </w:tr>
      <w:tr w:rsidR="00121B0F" w:rsidRPr="00D6597F" w14:paraId="77B7E966" w14:textId="77777777" w:rsidTr="00D6597F">
        <w:trPr>
          <w:trHeight w:val="1250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2AF69" w14:textId="77777777" w:rsidR="00121B0F" w:rsidRPr="00D6597F" w:rsidRDefault="00121B0F" w:rsidP="00184804">
            <w:pPr>
              <w:tabs>
                <w:tab w:val="left" w:pos="960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  <w:lang w:eastAsia="zh-HK"/>
              </w:rPr>
              <w:t>銷售類型分析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FFAAE" w14:textId="77777777" w:rsidR="00121B0F" w:rsidRPr="00DA7F8F" w:rsidRDefault="00121B0F" w:rsidP="00DA7F8F">
            <w:pPr>
              <w:pStyle w:val="ac"/>
              <w:numPr>
                <w:ilvl w:val="0"/>
                <w:numId w:val="18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bCs/>
                <w:color w:val="000000"/>
                <w:sz w:val="26"/>
                <w:szCs w:val="26"/>
              </w:rPr>
              <w:t>學習團隊分組</w:t>
            </w:r>
          </w:p>
          <w:p w14:paraId="5100AD24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bCs/>
                <w:color w:val="00000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bCs/>
                <w:color w:val="000000"/>
                <w:sz w:val="26"/>
                <w:szCs w:val="26"/>
              </w:rPr>
              <w:t>銷售的五大類型分析講解</w:t>
            </w:r>
          </w:p>
          <w:p w14:paraId="21FF264E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銷售的行為特質配對練習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D4B36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理論說明</w:t>
            </w:r>
          </w:p>
          <w:p w14:paraId="7FEB3E64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案例分析</w:t>
            </w:r>
          </w:p>
          <w:p w14:paraId="7EC5721E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分組</w:t>
            </w: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研討法</w:t>
            </w:r>
          </w:p>
        </w:tc>
      </w:tr>
      <w:tr w:rsidR="00121B0F" w:rsidRPr="00D6597F" w14:paraId="3D0731EA" w14:textId="77777777" w:rsidTr="00D6597F">
        <w:trPr>
          <w:trHeight w:val="1256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1DBAC" w14:textId="77777777" w:rsidR="00121B0F" w:rsidRPr="00D6597F" w:rsidRDefault="00121B0F" w:rsidP="00184804">
            <w:pPr>
              <w:tabs>
                <w:tab w:val="left" w:pos="960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  <w:lang w:eastAsia="zh-HK"/>
              </w:rPr>
              <w:t>銷售的五種行為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54BCC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銷售的五種行為講解</w:t>
            </w:r>
          </w:p>
          <w:p w14:paraId="2EC9A3AF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分組研討報告銷售五種行為</w:t>
            </w:r>
          </w:p>
          <w:p w14:paraId="08992A7F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分組評核+講師指導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00D45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理論說明</w:t>
            </w:r>
          </w:p>
          <w:p w14:paraId="580A06AD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案例分析</w:t>
            </w:r>
          </w:p>
          <w:p w14:paraId="13AF095F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分組研討法</w:t>
            </w:r>
          </w:p>
        </w:tc>
      </w:tr>
      <w:tr w:rsidR="00121B0F" w:rsidRPr="00D6597F" w14:paraId="5D84ACB8" w14:textId="77777777" w:rsidTr="00D6597F">
        <w:trPr>
          <w:trHeight w:val="1725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C4E2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猜猜我是誰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7FB00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銷售行為判斷規則說明</w:t>
            </w:r>
          </w:p>
          <w:p w14:paraId="2A05143B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性向判斷法</w:t>
            </w:r>
          </w:p>
          <w:p w14:paraId="1FE5DE1F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主見判斷法</w:t>
            </w:r>
          </w:p>
          <w:p w14:paraId="50871810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行為特點判斷法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2FE9E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理論說明</w:t>
            </w:r>
          </w:p>
          <w:p w14:paraId="12DEE751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案例分析</w:t>
            </w:r>
          </w:p>
          <w:p w14:paraId="0C5CC1D4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分組體驗法</w:t>
            </w:r>
          </w:p>
        </w:tc>
      </w:tr>
      <w:tr w:rsidR="00121B0F" w:rsidRPr="00D6597F" w14:paraId="57DB5DFE" w14:textId="77777777" w:rsidTr="00D6597F">
        <w:trPr>
          <w:trHeight w:val="50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2EC5B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銷售行為測驗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22CE9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銷售行為測驗</w:t>
            </w: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(測驗卷)</w:t>
            </w:r>
          </w:p>
          <w:p w14:paraId="5BD1B5EB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銷售行為說明</w:t>
            </w:r>
          </w:p>
          <w:p w14:paraId="173CD8F5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銷售行為驗證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BE7A7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測驗</w:t>
            </w:r>
          </w:p>
          <w:p w14:paraId="24D2B16F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理論說明</w:t>
            </w:r>
          </w:p>
          <w:p w14:paraId="41EDB8E7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行為驗證</w:t>
            </w:r>
          </w:p>
        </w:tc>
      </w:tr>
      <w:tr w:rsidR="00121B0F" w:rsidRPr="00D6597F" w14:paraId="07AB0AE5" w14:textId="77777777" w:rsidTr="00D6597F">
        <w:trPr>
          <w:trHeight w:val="50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1BE94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客戶類型銷售應對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FD6B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客戶五大類型行為</w:t>
            </w:r>
          </w:p>
          <w:p w14:paraId="2B4EE0EB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銷售應對研討</w:t>
            </w:r>
          </w:p>
          <w:p w14:paraId="0C175231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銷售應對方法說明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8EBD4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理論說明</w:t>
            </w:r>
          </w:p>
          <w:p w14:paraId="523C0F89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案例分析</w:t>
            </w:r>
          </w:p>
          <w:p w14:paraId="652CEDC8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應對評核建議</w:t>
            </w:r>
          </w:p>
        </w:tc>
      </w:tr>
      <w:tr w:rsidR="00121B0F" w:rsidRPr="00D6597F" w14:paraId="1E07C4FE" w14:textId="77777777" w:rsidTr="00D6597F">
        <w:trPr>
          <w:trHeight w:val="50"/>
          <w:jc w:val="center"/>
        </w:trPr>
        <w:tc>
          <w:tcPr>
            <w:tcW w:w="2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DA29F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597F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6"/>
                <w:szCs w:val="26"/>
              </w:rPr>
              <w:t>五種類型拒絕對策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486C7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客戶拒絕模式說明</w:t>
            </w:r>
          </w:p>
          <w:p w14:paraId="78135209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客戶拒絕應對研討報告</w:t>
            </w:r>
          </w:p>
          <w:p w14:paraId="183F29FE" w14:textId="77777777" w:rsidR="00121B0F" w:rsidRPr="00DA7F8F" w:rsidRDefault="00121B0F" w:rsidP="00DA7F8F">
            <w:pPr>
              <w:pStyle w:val="ac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</w:rPr>
            </w:pPr>
            <w:r w:rsidRPr="00DA7F8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講師總講解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BF87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理論說明</w:t>
            </w:r>
          </w:p>
          <w:p w14:paraId="4AD2781B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案例分析</w:t>
            </w:r>
          </w:p>
          <w:p w14:paraId="07568A64" w14:textId="77777777" w:rsidR="00121B0F" w:rsidRPr="00D6597F" w:rsidRDefault="00121B0F" w:rsidP="00184804">
            <w:pPr>
              <w:widowControl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6"/>
                <w:szCs w:val="26"/>
                <w:lang w:eastAsia="zh-HK"/>
              </w:rPr>
            </w:pPr>
            <w:r w:rsidRPr="00D6597F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  <w:lang w:eastAsia="zh-HK"/>
              </w:rPr>
              <w:t>拒絕處理評核建議</w:t>
            </w:r>
          </w:p>
        </w:tc>
      </w:tr>
    </w:tbl>
    <w:p w14:paraId="2B1D13A0" w14:textId="77777777" w:rsidR="00D6597F" w:rsidRPr="00D6597F" w:rsidRDefault="00D6597F" w:rsidP="00285C63">
      <w:pPr>
        <w:snapToGrid w:val="0"/>
        <w:rPr>
          <w:rFonts w:ascii="新細明體" w:hAnsi="新細明體"/>
          <w:b/>
          <w:color w:val="FFFF00"/>
          <w:sz w:val="26"/>
          <w:szCs w:val="26"/>
        </w:rPr>
      </w:pPr>
    </w:p>
    <w:p w14:paraId="1586A251" w14:textId="77777777" w:rsidR="00285C63" w:rsidRPr="00D6597F" w:rsidRDefault="00D6597F" w:rsidP="00285C63">
      <w:pPr>
        <w:snapToGrid w:val="0"/>
        <w:rPr>
          <w:rFonts w:ascii="新細明體" w:hAnsi="新細明體"/>
          <w:b/>
          <w:color w:val="FFFF00"/>
          <w:sz w:val="26"/>
          <w:szCs w:val="26"/>
        </w:rPr>
      </w:pPr>
      <w:r w:rsidRPr="00D6597F">
        <w:rPr>
          <w:rFonts w:ascii="新細明體" w:hAnsi="新細明體"/>
          <w:b/>
          <w:color w:val="FFFF00"/>
          <w:sz w:val="26"/>
          <w:szCs w:val="26"/>
        </w:rPr>
        <w:br w:type="page"/>
      </w:r>
    </w:p>
    <w:p w14:paraId="0EFEE74A" w14:textId="77777777" w:rsidR="003C7F6C" w:rsidRDefault="003C7F6C" w:rsidP="00D51653">
      <w:pPr>
        <w:snapToGrid w:val="0"/>
        <w:rPr>
          <w:rFonts w:ascii="微軟正黑體" w:eastAsia="微軟正黑體" w:hAnsi="微軟正黑體"/>
          <w:b/>
          <w:color w:val="000000"/>
          <w:sz w:val="26"/>
          <w:szCs w:val="26"/>
        </w:rPr>
      </w:pPr>
    </w:p>
    <w:p w14:paraId="690DB1F3" w14:textId="35E4362B" w:rsidR="00CF18BA" w:rsidRPr="00285C63" w:rsidRDefault="001C2352" w:rsidP="00D51653">
      <w:pPr>
        <w:snapToGrid w:val="0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授課時間：</w:t>
      </w:r>
      <w:r w:rsidR="00C90604" w:rsidRPr="00C90604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202</w:t>
      </w:r>
      <w:r w:rsidR="00121B0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2</w:t>
      </w:r>
      <w:r w:rsidR="00C90604" w:rsidRPr="00C90604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/1/1</w:t>
      </w:r>
      <w:r w:rsidR="003C7F6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2</w:t>
      </w:r>
      <w:r w:rsidR="00C90604" w:rsidRPr="00C90604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(</w:t>
      </w:r>
      <w:r w:rsidR="003C7F6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三</w:t>
      </w:r>
      <w:r w:rsidR="00C90604" w:rsidRPr="00C90604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)</w:t>
      </w: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，</w:t>
      </w:r>
      <w:r w:rsidR="00556849"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10:00-17:00</w:t>
      </w: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，共計6小時</w:t>
      </w:r>
    </w:p>
    <w:p w14:paraId="4D709DC7" w14:textId="77777777" w:rsidR="00877F59" w:rsidRPr="00285C63" w:rsidRDefault="00877F59" w:rsidP="00877F59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報名方式:</w:t>
      </w:r>
      <w:r w:rsidRPr="00285C63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</w:t>
      </w: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填妥報名表後，E</w:t>
      </w:r>
      <w:r w:rsidRPr="00285C63">
        <w:rPr>
          <w:rFonts w:ascii="微軟正黑體" w:eastAsia="微軟正黑體" w:hAnsi="微軟正黑體"/>
          <w:b/>
          <w:color w:val="000000"/>
          <w:sz w:val="26"/>
          <w:szCs w:val="26"/>
        </w:rPr>
        <w:t>mail</w:t>
      </w: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至</w:t>
      </w:r>
      <w:hyperlink r:id="rId8" w:history="1">
        <w:r w:rsidRPr="00285C63">
          <w:rPr>
            <w:rFonts w:ascii="微軟正黑體" w:eastAsia="微軟正黑體" w:hAnsi="微軟正黑體" w:hint="eastAsia"/>
            <w:b/>
            <w:sz w:val="26"/>
            <w:szCs w:val="26"/>
          </w:rPr>
          <w:t>service@ssi.org.tw</w:t>
        </w:r>
      </w:hyperlink>
      <w:r w:rsidRPr="00285C63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; </w:t>
      </w:r>
      <w:r w:rsidRPr="00285C63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連絡電話03-5723200</w:t>
      </w:r>
    </w:p>
    <w:p w14:paraId="7461C7B6" w14:textId="77777777" w:rsidR="00877F59" w:rsidRPr="00285C63" w:rsidRDefault="00877F59" w:rsidP="00877F59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029"/>
        <w:gridCol w:w="369"/>
        <w:gridCol w:w="332"/>
        <w:gridCol w:w="678"/>
        <w:gridCol w:w="389"/>
        <w:gridCol w:w="109"/>
        <w:gridCol w:w="1289"/>
        <w:gridCol w:w="649"/>
        <w:gridCol w:w="750"/>
        <w:gridCol w:w="793"/>
        <w:gridCol w:w="605"/>
        <w:gridCol w:w="1399"/>
      </w:tblGrid>
      <w:tr w:rsidR="00877F59" w:rsidRPr="00285C63" w14:paraId="7BDA739A" w14:textId="77777777" w:rsidTr="00321FC4">
        <w:trPr>
          <w:cantSplit/>
          <w:trHeight w:val="498"/>
          <w:jc w:val="center"/>
        </w:trPr>
        <w:tc>
          <w:tcPr>
            <w:tcW w:w="9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AF3" w14:textId="77777777" w:rsidR="00877F59" w:rsidRPr="00906CF2" w:rsidRDefault="00121B0F" w:rsidP="00877F59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</w:rPr>
            </w:pPr>
            <w:r w:rsidRPr="00121B0F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>銷售行為測驗與客戶類型銷售術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877F59" w:rsidRPr="0095742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新竹</w:t>
            </w:r>
            <w:r w:rsidR="00877F59" w:rsidRPr="0095742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班)</w:t>
            </w:r>
          </w:p>
        </w:tc>
      </w:tr>
      <w:tr w:rsidR="00877F59" w:rsidRPr="00285C63" w14:paraId="52776135" w14:textId="77777777" w:rsidTr="00321FC4">
        <w:trPr>
          <w:cantSplit/>
          <w:trHeight w:val="536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C74C" w14:textId="77777777" w:rsidR="00877F59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54E6" w14:textId="77777777" w:rsidR="00877F59" w:rsidRDefault="00877F59" w:rsidP="00321FC4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5A0CE6D" w14:textId="77777777" w:rsidR="00877F59" w:rsidRDefault="00877F59" w:rsidP="00321FC4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0164" w14:textId="77777777" w:rsidR="00877F59" w:rsidRDefault="00877F59" w:rsidP="00321FC4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性   別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257" w14:textId="77777777" w:rsidR="00877F59" w:rsidRDefault="00877F59" w:rsidP="00321FC4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2BB7" w14:textId="77777777" w:rsidR="00877F59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BD7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77F59" w:rsidRPr="00285C63" w14:paraId="2BAECB48" w14:textId="77777777" w:rsidTr="00321FC4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20BE" w14:textId="77777777" w:rsidR="00877F59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7D8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D9BB5BE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36C7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部門及職稱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AC4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EF50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F4D" w14:textId="77777777" w:rsidR="00877F59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77F59" w:rsidRPr="00285C63" w14:paraId="12A887DC" w14:textId="77777777" w:rsidTr="00321FC4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465F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E-MAIL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3B6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77F59" w:rsidRPr="00285C63" w14:paraId="3C6A08D2" w14:textId="77777777" w:rsidTr="00321FC4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B51F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地   址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AEE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77F59" w:rsidRPr="00285C63" w14:paraId="0A314807" w14:textId="77777777" w:rsidTr="00321FC4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825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   歷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F4B3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博士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碩士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大學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專科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其他    科系：____________</w:t>
            </w:r>
          </w:p>
        </w:tc>
      </w:tr>
      <w:tr w:rsidR="00877F59" w:rsidRPr="00285C63" w14:paraId="1A1E4803" w14:textId="77777777" w:rsidTr="00321FC4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595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2215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聯絡人姓名：             電話：               E-mail：</w:t>
            </w:r>
          </w:p>
        </w:tc>
      </w:tr>
      <w:tr w:rsidR="00877F59" w:rsidRPr="00285C63" w14:paraId="76B64991" w14:textId="77777777" w:rsidTr="00321FC4">
        <w:trPr>
          <w:cantSplit/>
          <w:trHeight w:val="203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6067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訊息來源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80391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DBBB2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B69CC4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A8E3D8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9AABC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學會FB專頁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57E342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朋友</w:t>
            </w:r>
          </w:p>
        </w:tc>
      </w:tr>
      <w:tr w:rsidR="00877F59" w:rsidRPr="00285C63" w14:paraId="330B6028" w14:textId="77777777" w:rsidTr="00321FC4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43C6" w14:textId="77777777" w:rsidR="00877F59" w:rsidRPr="00285C63" w:rsidRDefault="00877F59" w:rsidP="00321FC4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1E5C2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833B8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4F76F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50BC7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2CE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其他:_________</w:t>
            </w:r>
          </w:p>
        </w:tc>
      </w:tr>
      <w:tr w:rsidR="00877F59" w:rsidRPr="00285C63" w14:paraId="24125FD7" w14:textId="77777777" w:rsidTr="00321FC4">
        <w:trPr>
          <w:cantSplit/>
          <w:trHeight w:val="405"/>
          <w:jc w:val="center"/>
        </w:trPr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A2B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E314" w14:textId="77777777" w:rsidR="00877F59" w:rsidRPr="00285C63" w:rsidRDefault="00877F59" w:rsidP="00321FC4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統一編號：</w:t>
            </w:r>
          </w:p>
        </w:tc>
      </w:tr>
      <w:tr w:rsidR="00877F59" w:rsidRPr="00285C63" w14:paraId="57F8AEC8" w14:textId="77777777" w:rsidTr="00321FC4">
        <w:trPr>
          <w:cantSplit/>
          <w:trHeight w:val="70"/>
          <w:jc w:val="center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9252" w14:textId="77777777" w:rsidR="00877F59" w:rsidRPr="00285C63" w:rsidRDefault="00121B0F" w:rsidP="00321FC4">
            <w:pPr>
              <w:pStyle w:val="a4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新竹</w:t>
            </w:r>
            <w:r w:rsidRPr="00957420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班</w:t>
            </w:r>
          </w:p>
        </w:tc>
        <w:tc>
          <w:tcPr>
            <w:tcW w:w="7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3E1C" w14:textId="77777777" w:rsidR="00877F59" w:rsidRPr="00285C63" w:rsidRDefault="00877F59" w:rsidP="00321FC4">
            <w:pPr>
              <w:pStyle w:val="ac"/>
              <w:snapToGrid w:val="0"/>
              <w:ind w:leftChars="0" w:left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課程費用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>NT$</w:t>
            </w:r>
            <w:r w:rsidR="00121B0F">
              <w:rPr>
                <w:rFonts w:ascii="Arial" w:hAnsi="Arial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/>
                <w:bCs/>
                <w:color w:val="000000"/>
                <w:sz w:val="28"/>
                <w:szCs w:val="28"/>
              </w:rPr>
              <w:t>,000</w:t>
            </w:r>
          </w:p>
        </w:tc>
      </w:tr>
      <w:tr w:rsidR="00877F59" w:rsidRPr="00285C63" w14:paraId="54AA1E1D" w14:textId="77777777" w:rsidTr="00321FC4">
        <w:trPr>
          <w:cantSplit/>
          <w:trHeight w:val="405"/>
          <w:jc w:val="center"/>
        </w:trPr>
        <w:tc>
          <w:tcPr>
            <w:tcW w:w="9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1D2C" w14:textId="77777777" w:rsidR="00877F59" w:rsidRPr="00285C63" w:rsidRDefault="00877F59" w:rsidP="00321FC4">
            <w:pPr>
              <w:snapToGrid w:val="0"/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以上價格不含郵寄與匯款費用</w:t>
            </w:r>
          </w:p>
        </w:tc>
      </w:tr>
      <w:tr w:rsidR="00877F59" w:rsidRPr="00285C63" w14:paraId="62BFC5E3" w14:textId="77777777" w:rsidTr="00321FC4">
        <w:trPr>
          <w:cantSplit/>
          <w:trHeight w:val="89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2590" w14:textId="77777777" w:rsidR="00877F59" w:rsidRPr="00285C63" w:rsidRDefault="00877F59" w:rsidP="00321FC4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付款方式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5C8" w14:textId="77777777" w:rsidR="00877F59" w:rsidRPr="00285C63" w:rsidRDefault="00877F59" w:rsidP="00321FC4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ATM轉帳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D01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兆豐國際銀行017 新安分行 0206</w:t>
            </w:r>
          </w:p>
          <w:p w14:paraId="6769D93C" w14:textId="77777777" w:rsidR="00877F59" w:rsidRPr="00285C63" w:rsidRDefault="00877F59" w:rsidP="00321FC4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亞卓國際顧問股份有限公司020-09-028980</w:t>
            </w:r>
          </w:p>
        </w:tc>
      </w:tr>
    </w:tbl>
    <w:p w14:paraId="72176F4D" w14:textId="77777777" w:rsidR="00877F59" w:rsidRPr="00285C63" w:rsidRDefault="00877F59" w:rsidP="00877F59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p w14:paraId="0815D503" w14:textId="77777777" w:rsidR="00877F59" w:rsidRPr="00285C63" w:rsidRDefault="00877F59" w:rsidP="00877F59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【注意事項】</w:t>
      </w:r>
    </w:p>
    <w:p w14:paraId="48998744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「</w:t>
      </w:r>
      <w:r w:rsidRPr="00285C63">
        <w:rPr>
          <w:rFonts w:ascii="微軟正黑體" w:eastAsia="微軟正黑體" w:hAnsi="微軟正黑體"/>
          <w:b/>
          <w:color w:val="FF0000"/>
          <w:sz w:val="18"/>
          <w:szCs w:val="18"/>
        </w:rPr>
        <w:t>*</w:t>
      </w: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」項目請務必填寫，以利行前通知，或聯絡注意事項。</w:t>
      </w:r>
    </w:p>
    <w:p w14:paraId="44E717DD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為尊重智財權，課程進行中禁止錄音、錄影。</w:t>
      </w:r>
    </w:p>
    <w:p w14:paraId="708B6328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費用含教材講義。</w:t>
      </w:r>
    </w:p>
    <w:p w14:paraId="2E67E89F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6353F599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因學員個人因素，上課前</w:t>
      </w:r>
      <w:r w:rsidRPr="00285C63">
        <w:rPr>
          <w:rFonts w:ascii="微軟正黑體" w:eastAsia="微軟正黑體" w:hAnsi="微軟正黑體"/>
          <w:color w:val="000000"/>
          <w:sz w:val="18"/>
          <w:szCs w:val="18"/>
        </w:rPr>
        <w:t>7天後即不得退費，但得轉讓、</w:t>
      </w: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轉課、或保留。上課前</w:t>
      </w:r>
      <w:r w:rsidRPr="00285C63">
        <w:rPr>
          <w:rFonts w:ascii="微軟正黑體" w:eastAsia="微軟正黑體" w:hAnsi="微軟正黑體"/>
          <w:color w:val="000000"/>
          <w:sz w:val="18"/>
          <w:szCs w:val="18"/>
        </w:rPr>
        <w:t>7天以上申請退費，退費時扣除手續費10%。</w:t>
      </w:r>
    </w:p>
    <w:p w14:paraId="2701E69E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若退費因素為學會課程取消或延課因素，學會負擔退費之手續費。</w:t>
      </w:r>
    </w:p>
    <w:p w14:paraId="0EF914CB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需報帳者，請務必填寫「公司抬頭」及「統一編號」欄，以利開立收據。</w:t>
      </w:r>
    </w:p>
    <w:p w14:paraId="049F579D" w14:textId="77777777" w:rsidR="00877F59" w:rsidRPr="00285C63" w:rsidRDefault="00877F59" w:rsidP="00877F59">
      <w:pPr>
        <w:numPr>
          <w:ilvl w:val="0"/>
          <w:numId w:val="2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團報時每人仍需填一份資料，並加註團報聯絡人聯絡資料。</w:t>
      </w:r>
    </w:p>
    <w:p w14:paraId="6FF0C76C" w14:textId="77777777" w:rsidR="00877F59" w:rsidRPr="00877F59" w:rsidRDefault="00877F59" w:rsidP="00877F59">
      <w:pPr>
        <w:overflowPunct w:val="0"/>
        <w:autoSpaceDE w:val="0"/>
        <w:autoSpaceDN w:val="0"/>
        <w:snapToGrid w:val="0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877F59" w:rsidRPr="00877F59" w:rsidSect="00B81CF9">
      <w:headerReference w:type="default" r:id="rId9"/>
      <w:footerReference w:type="default" r:id="rId10"/>
      <w:pgSz w:w="11906" w:h="16838"/>
      <w:pgMar w:top="567" w:right="567" w:bottom="567" w:left="56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5A5" w14:textId="77777777" w:rsidR="001D0BF6" w:rsidRDefault="001D0BF6">
      <w:r>
        <w:separator/>
      </w:r>
    </w:p>
  </w:endnote>
  <w:endnote w:type="continuationSeparator" w:id="0">
    <w:p w14:paraId="2C0AD6D9" w14:textId="77777777" w:rsidR="001D0BF6" w:rsidRDefault="001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703" w14:textId="77777777" w:rsidR="00C41936" w:rsidRDefault="00C41936" w:rsidP="00E37368">
    <w:pPr>
      <w:pStyle w:val="a6"/>
      <w:jc w:val="right"/>
    </w:pP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6A19" w14:textId="77777777" w:rsidR="001D0BF6" w:rsidRDefault="001D0BF6">
      <w:r>
        <w:separator/>
      </w:r>
    </w:p>
  </w:footnote>
  <w:footnote w:type="continuationSeparator" w:id="0">
    <w:p w14:paraId="61BAF6D6" w14:textId="77777777" w:rsidR="001D0BF6" w:rsidRDefault="001D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D5ED" w14:textId="0039B74C" w:rsidR="001C2352" w:rsidRDefault="002C02CF" w:rsidP="001C2352">
    <w:pPr>
      <w:pStyle w:val="aa"/>
      <w:tabs>
        <w:tab w:val="clear" w:pos="8306"/>
        <w:tab w:val="right" w:pos="9781"/>
      </w:tabs>
      <w:ind w:right="-34"/>
      <w:rPr>
        <w:rFonts w:ascii="微軟正黑體" w:eastAsia="微軟正黑體" w:hAnsi="微軟正黑體"/>
      </w:rPr>
    </w:pPr>
    <w:r w:rsidRPr="00092961"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 wp14:anchorId="015E561A" wp14:editId="759214ED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0" b="0"/>
          <wp:wrapNone/>
          <wp:docPr id="4" name="圖片 24" descr="描述: 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" descr="描述: logo-sti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352" w:rsidRPr="0064679E">
      <w:rPr>
        <w:rFonts w:ascii="微軟正黑體" w:eastAsia="微軟正黑體" w:hAnsi="微軟正黑體" w:hint="eastAsia"/>
      </w:rPr>
      <w:t>主辦單位</w:t>
    </w:r>
    <w:r w:rsidR="001C2352">
      <w:rPr>
        <w:rFonts w:ascii="微軟正黑體" w:eastAsia="微軟正黑體" w:hAnsi="微軟正黑體" w:hint="eastAsia"/>
      </w:rPr>
      <w:t xml:space="preserve">     亞卓國際顧問股份有限公司</w:t>
    </w:r>
    <w:r w:rsidR="001D0BF6">
      <w:rPr>
        <w:rFonts w:ascii="微軟正黑體" w:eastAsia="微軟正黑體" w:hAnsi="微軟正黑體"/>
      </w:rPr>
      <w:pict w14:anchorId="1B19D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1026" type="#_x0000_t75" style="position:absolute;margin-left:0;margin-top:0;width:470.35pt;height:470.35pt;z-index:-251657728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14:paraId="4E7FC082" w14:textId="79FD65B2" w:rsidR="00633334" w:rsidRPr="00633334" w:rsidRDefault="002C02CF" w:rsidP="00633334">
    <w:pPr>
      <w:adjustRightInd w:val="0"/>
      <w:snapToGrid w:val="0"/>
      <w:rPr>
        <w:rFonts w:ascii="微軟正黑體" w:eastAsia="微軟正黑體" w:hAnsi="微軟正黑體"/>
        <w:sz w:val="20"/>
        <w:szCs w:val="20"/>
      </w:rPr>
    </w:pPr>
    <w:r w:rsidRPr="00092961">
      <w:rPr>
        <w:rFonts w:ascii="微軟正黑體" w:eastAsia="微軟正黑體" w:hAnsi="微軟正黑體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9EC66AF" wp14:editId="6878B67A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0" b="0"/>
          <wp:wrapNone/>
          <wp:docPr id="3" name="圖片 27" descr="描述: 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7" descr="描述: 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352" w:rsidRPr="00092961">
      <w:rPr>
        <w:rFonts w:ascii="微軟正黑體" w:eastAsia="微軟正黑體" w:hAnsi="微軟正黑體" w:hint="eastAsia"/>
        <w:sz w:val="20"/>
        <w:szCs w:val="20"/>
      </w:rPr>
      <w:t>協辦單位     中華系統性創新學會</w:t>
    </w:r>
    <w:r w:rsidR="00092961">
      <w:rPr>
        <w:rFonts w:ascii="微軟正黑體" w:eastAsia="微軟正黑體" w:hAnsi="微軟正黑體" w:hint="eastAsia"/>
        <w:sz w:val="20"/>
        <w:szCs w:val="20"/>
      </w:rPr>
      <w:t xml:space="preserve">        </w:t>
    </w:r>
    <w:r w:rsidR="003C7320">
      <w:rPr>
        <w:rFonts w:ascii="微軟正黑體" w:eastAsia="微軟正黑體" w:hAnsi="微軟正黑體" w:hint="eastAsia"/>
        <w:sz w:val="16"/>
        <w:szCs w:val="16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D8C"/>
    <w:multiLevelType w:val="hybridMultilevel"/>
    <w:tmpl w:val="5AD63068"/>
    <w:lvl w:ilvl="0" w:tplc="8E48CF4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5772E"/>
    <w:multiLevelType w:val="hybridMultilevel"/>
    <w:tmpl w:val="D24AF35E"/>
    <w:lvl w:ilvl="0" w:tplc="1284C6D8">
      <w:start w:val="1"/>
      <w:numFmt w:val="decimal"/>
      <w:lvlText w:val="%1、"/>
      <w:lvlJc w:val="left"/>
      <w:pPr>
        <w:ind w:left="905" w:hanging="48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A1B0B8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C57D20"/>
    <w:multiLevelType w:val="hybridMultilevel"/>
    <w:tmpl w:val="20CC765A"/>
    <w:lvl w:ilvl="0" w:tplc="53A07C7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761560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802E60"/>
    <w:multiLevelType w:val="hybridMultilevel"/>
    <w:tmpl w:val="8D2404FC"/>
    <w:lvl w:ilvl="0" w:tplc="9368794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E037D24"/>
    <w:multiLevelType w:val="hybridMultilevel"/>
    <w:tmpl w:val="4BA2D95A"/>
    <w:lvl w:ilvl="0" w:tplc="00228E5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42D0094"/>
    <w:multiLevelType w:val="hybridMultilevel"/>
    <w:tmpl w:val="40324F56"/>
    <w:lvl w:ilvl="0" w:tplc="1284C6D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  <w:color w:val="000000"/>
      </w:rPr>
    </w:lvl>
    <w:lvl w:ilvl="1" w:tplc="0AAE169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DC35095"/>
    <w:multiLevelType w:val="hybridMultilevel"/>
    <w:tmpl w:val="DE8C3E70"/>
    <w:lvl w:ilvl="0" w:tplc="FAE25E8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3071"/>
    <w:multiLevelType w:val="hybridMultilevel"/>
    <w:tmpl w:val="36188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850059"/>
    <w:multiLevelType w:val="hybridMultilevel"/>
    <w:tmpl w:val="25409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26430A"/>
    <w:multiLevelType w:val="hybridMultilevel"/>
    <w:tmpl w:val="EF82ECCE"/>
    <w:lvl w:ilvl="0" w:tplc="655E5F5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585460C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B059B"/>
    <w:multiLevelType w:val="hybridMultilevel"/>
    <w:tmpl w:val="7EB8017C"/>
    <w:lvl w:ilvl="0" w:tplc="8C8EBD0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ED22C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F7587"/>
    <w:multiLevelType w:val="hybridMultilevel"/>
    <w:tmpl w:val="2482060E"/>
    <w:lvl w:ilvl="0" w:tplc="0FA45592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17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008F5"/>
    <w:rsid w:val="000252FE"/>
    <w:rsid w:val="000260F2"/>
    <w:rsid w:val="00057215"/>
    <w:rsid w:val="00075226"/>
    <w:rsid w:val="00083290"/>
    <w:rsid w:val="00092961"/>
    <w:rsid w:val="000A3CA6"/>
    <w:rsid w:val="000B302C"/>
    <w:rsid w:val="000B685A"/>
    <w:rsid w:val="000F21DF"/>
    <w:rsid w:val="000F4D06"/>
    <w:rsid w:val="001063A7"/>
    <w:rsid w:val="00115CE2"/>
    <w:rsid w:val="00121B0F"/>
    <w:rsid w:val="00151F96"/>
    <w:rsid w:val="00182896"/>
    <w:rsid w:val="00184804"/>
    <w:rsid w:val="00186D92"/>
    <w:rsid w:val="001A01F2"/>
    <w:rsid w:val="001A4265"/>
    <w:rsid w:val="001C2352"/>
    <w:rsid w:val="001C3BAE"/>
    <w:rsid w:val="001D0BF6"/>
    <w:rsid w:val="001D53FA"/>
    <w:rsid w:val="001E2379"/>
    <w:rsid w:val="00225C36"/>
    <w:rsid w:val="00226C26"/>
    <w:rsid w:val="0024334D"/>
    <w:rsid w:val="00256CDC"/>
    <w:rsid w:val="00285C63"/>
    <w:rsid w:val="00294587"/>
    <w:rsid w:val="002A3884"/>
    <w:rsid w:val="002C02CF"/>
    <w:rsid w:val="002C2957"/>
    <w:rsid w:val="002D470C"/>
    <w:rsid w:val="002D70C8"/>
    <w:rsid w:val="002E263C"/>
    <w:rsid w:val="002F3DA8"/>
    <w:rsid w:val="00312693"/>
    <w:rsid w:val="003138F1"/>
    <w:rsid w:val="003139AC"/>
    <w:rsid w:val="00317C4F"/>
    <w:rsid w:val="00321FC4"/>
    <w:rsid w:val="00327F93"/>
    <w:rsid w:val="003358C8"/>
    <w:rsid w:val="0034172F"/>
    <w:rsid w:val="00352BD3"/>
    <w:rsid w:val="00357BF3"/>
    <w:rsid w:val="003827AD"/>
    <w:rsid w:val="00396D29"/>
    <w:rsid w:val="003C7320"/>
    <w:rsid w:val="003C7F6C"/>
    <w:rsid w:val="003D4C56"/>
    <w:rsid w:val="004035A7"/>
    <w:rsid w:val="004070B0"/>
    <w:rsid w:val="0041473E"/>
    <w:rsid w:val="004478B8"/>
    <w:rsid w:val="00471061"/>
    <w:rsid w:val="00472DAA"/>
    <w:rsid w:val="004932BC"/>
    <w:rsid w:val="00493CA2"/>
    <w:rsid w:val="004A1964"/>
    <w:rsid w:val="004A6D41"/>
    <w:rsid w:val="004B09CF"/>
    <w:rsid w:val="004C0FFB"/>
    <w:rsid w:val="004E2E5B"/>
    <w:rsid w:val="004F6D52"/>
    <w:rsid w:val="005120AD"/>
    <w:rsid w:val="00514F5D"/>
    <w:rsid w:val="00525067"/>
    <w:rsid w:val="00525A3F"/>
    <w:rsid w:val="00536372"/>
    <w:rsid w:val="00556849"/>
    <w:rsid w:val="00573487"/>
    <w:rsid w:val="0058194C"/>
    <w:rsid w:val="00583E37"/>
    <w:rsid w:val="005943A7"/>
    <w:rsid w:val="00595171"/>
    <w:rsid w:val="005A0D4C"/>
    <w:rsid w:val="005A2D6E"/>
    <w:rsid w:val="005A748B"/>
    <w:rsid w:val="005C7779"/>
    <w:rsid w:val="005F49DC"/>
    <w:rsid w:val="006049D7"/>
    <w:rsid w:val="006114B8"/>
    <w:rsid w:val="00611BF2"/>
    <w:rsid w:val="00627481"/>
    <w:rsid w:val="00630E5F"/>
    <w:rsid w:val="00633334"/>
    <w:rsid w:val="00662084"/>
    <w:rsid w:val="006A3DCD"/>
    <w:rsid w:val="006A660C"/>
    <w:rsid w:val="006B6D0D"/>
    <w:rsid w:val="006C02A0"/>
    <w:rsid w:val="006C13AB"/>
    <w:rsid w:val="006C4B61"/>
    <w:rsid w:val="006C797F"/>
    <w:rsid w:val="006D07A2"/>
    <w:rsid w:val="006D30A0"/>
    <w:rsid w:val="006E1A1C"/>
    <w:rsid w:val="006E1CE7"/>
    <w:rsid w:val="00707655"/>
    <w:rsid w:val="007117EE"/>
    <w:rsid w:val="00716712"/>
    <w:rsid w:val="00725753"/>
    <w:rsid w:val="007306EF"/>
    <w:rsid w:val="007477D2"/>
    <w:rsid w:val="007542C5"/>
    <w:rsid w:val="00775A59"/>
    <w:rsid w:val="007A3096"/>
    <w:rsid w:val="007C37A1"/>
    <w:rsid w:val="007C6858"/>
    <w:rsid w:val="007C72F5"/>
    <w:rsid w:val="007E17B9"/>
    <w:rsid w:val="007E65D5"/>
    <w:rsid w:val="007F4AB5"/>
    <w:rsid w:val="00811DCB"/>
    <w:rsid w:val="00824FA4"/>
    <w:rsid w:val="008313CD"/>
    <w:rsid w:val="00850C42"/>
    <w:rsid w:val="00852D64"/>
    <w:rsid w:val="008579AE"/>
    <w:rsid w:val="00860A2D"/>
    <w:rsid w:val="00867CBC"/>
    <w:rsid w:val="00873A7F"/>
    <w:rsid w:val="00873C81"/>
    <w:rsid w:val="00877F59"/>
    <w:rsid w:val="008C7D99"/>
    <w:rsid w:val="008D0B2C"/>
    <w:rsid w:val="008D1FF5"/>
    <w:rsid w:val="008E7438"/>
    <w:rsid w:val="008F245B"/>
    <w:rsid w:val="00902AD6"/>
    <w:rsid w:val="0091203D"/>
    <w:rsid w:val="00925C47"/>
    <w:rsid w:val="00964BEF"/>
    <w:rsid w:val="0096530C"/>
    <w:rsid w:val="00982B3A"/>
    <w:rsid w:val="0098651D"/>
    <w:rsid w:val="009B231D"/>
    <w:rsid w:val="009B56E2"/>
    <w:rsid w:val="009B59A2"/>
    <w:rsid w:val="009B6F6D"/>
    <w:rsid w:val="009C005F"/>
    <w:rsid w:val="009C0364"/>
    <w:rsid w:val="009D7323"/>
    <w:rsid w:val="00A007F9"/>
    <w:rsid w:val="00A2380E"/>
    <w:rsid w:val="00A35093"/>
    <w:rsid w:val="00A622A6"/>
    <w:rsid w:val="00A67FDE"/>
    <w:rsid w:val="00A97393"/>
    <w:rsid w:val="00AB4006"/>
    <w:rsid w:val="00AC2757"/>
    <w:rsid w:val="00AE7C7A"/>
    <w:rsid w:val="00AF7E92"/>
    <w:rsid w:val="00B021E1"/>
    <w:rsid w:val="00B13AF4"/>
    <w:rsid w:val="00B32FAC"/>
    <w:rsid w:val="00B42EDA"/>
    <w:rsid w:val="00B4335C"/>
    <w:rsid w:val="00B455EB"/>
    <w:rsid w:val="00B54758"/>
    <w:rsid w:val="00B624D6"/>
    <w:rsid w:val="00B62BB6"/>
    <w:rsid w:val="00B71104"/>
    <w:rsid w:val="00B81CF9"/>
    <w:rsid w:val="00B83A0D"/>
    <w:rsid w:val="00BA4632"/>
    <w:rsid w:val="00BA4674"/>
    <w:rsid w:val="00BB65A2"/>
    <w:rsid w:val="00BC556C"/>
    <w:rsid w:val="00BE09F1"/>
    <w:rsid w:val="00C00D56"/>
    <w:rsid w:val="00C0602E"/>
    <w:rsid w:val="00C1077F"/>
    <w:rsid w:val="00C11EA0"/>
    <w:rsid w:val="00C17122"/>
    <w:rsid w:val="00C41936"/>
    <w:rsid w:val="00C70587"/>
    <w:rsid w:val="00C90604"/>
    <w:rsid w:val="00C954D8"/>
    <w:rsid w:val="00CA1D29"/>
    <w:rsid w:val="00CA2D74"/>
    <w:rsid w:val="00CD737F"/>
    <w:rsid w:val="00CF18BA"/>
    <w:rsid w:val="00D06D16"/>
    <w:rsid w:val="00D25679"/>
    <w:rsid w:val="00D326DF"/>
    <w:rsid w:val="00D34911"/>
    <w:rsid w:val="00D477AD"/>
    <w:rsid w:val="00D51653"/>
    <w:rsid w:val="00D60B83"/>
    <w:rsid w:val="00D613EC"/>
    <w:rsid w:val="00D6597F"/>
    <w:rsid w:val="00D75CE3"/>
    <w:rsid w:val="00D907E9"/>
    <w:rsid w:val="00D925BA"/>
    <w:rsid w:val="00D94C6E"/>
    <w:rsid w:val="00D95B5C"/>
    <w:rsid w:val="00DA0AC8"/>
    <w:rsid w:val="00DA7F8F"/>
    <w:rsid w:val="00DB0690"/>
    <w:rsid w:val="00DD0729"/>
    <w:rsid w:val="00DD3F8C"/>
    <w:rsid w:val="00DD615C"/>
    <w:rsid w:val="00DF59BB"/>
    <w:rsid w:val="00E27014"/>
    <w:rsid w:val="00E37368"/>
    <w:rsid w:val="00E37D0A"/>
    <w:rsid w:val="00E448EB"/>
    <w:rsid w:val="00E55EA1"/>
    <w:rsid w:val="00E703B7"/>
    <w:rsid w:val="00E73EF2"/>
    <w:rsid w:val="00E86783"/>
    <w:rsid w:val="00EA0B94"/>
    <w:rsid w:val="00EB2630"/>
    <w:rsid w:val="00EB26E3"/>
    <w:rsid w:val="00EC3C10"/>
    <w:rsid w:val="00EE6156"/>
    <w:rsid w:val="00F17427"/>
    <w:rsid w:val="00F26FE2"/>
    <w:rsid w:val="00F50056"/>
    <w:rsid w:val="00F6565F"/>
    <w:rsid w:val="00F72E86"/>
    <w:rsid w:val="00F74ED6"/>
    <w:rsid w:val="00F81AF1"/>
    <w:rsid w:val="00F9737F"/>
    <w:rsid w:val="00FB29C2"/>
    <w:rsid w:val="00FD1CF7"/>
    <w:rsid w:val="00FE3A3C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454F0"/>
  <w15:chartTrackingRefBased/>
  <w15:docId w15:val="{7DDA85C9-E810-41BD-928A-16CF461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A59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3">
    <w:name w:val="Strong"/>
    <w:uiPriority w:val="22"/>
    <w:qFormat/>
    <w:rsid w:val="00B54758"/>
    <w:rPr>
      <w:b/>
      <w:bCs/>
    </w:rPr>
  </w:style>
  <w:style w:type="paragraph" w:styleId="a4">
    <w:name w:val="Body Text"/>
    <w:basedOn w:val="a"/>
    <w:link w:val="a5"/>
    <w:rsid w:val="00B54758"/>
    <w:pPr>
      <w:jc w:val="right"/>
    </w:pPr>
    <w:rPr>
      <w:rFonts w:ascii="Arial" w:hAnsi="Arial" w:cs="Arial"/>
    </w:rPr>
  </w:style>
  <w:style w:type="paragraph" w:styleId="a6">
    <w:name w:val="footer"/>
    <w:basedOn w:val="a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B54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a"/>
    <w:rsid w:val="00B54758"/>
    <w:pPr>
      <w:numPr>
        <w:numId w:val="1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8">
    <w:name w:val="Hyperlink"/>
    <w:uiPriority w:val="99"/>
    <w:rsid w:val="00852D64"/>
    <w:rPr>
      <w:color w:val="0000FF"/>
      <w:u w:val="single"/>
    </w:rPr>
  </w:style>
  <w:style w:type="paragraph" w:styleId="Web">
    <w:name w:val="Normal (Web)"/>
    <w:basedOn w:val="a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 Indent"/>
    <w:basedOn w:val="a"/>
    <w:rsid w:val="00F9737F"/>
    <w:pPr>
      <w:spacing w:after="120"/>
      <w:ind w:leftChars="200" w:left="480"/>
    </w:pPr>
  </w:style>
  <w:style w:type="paragraph" w:styleId="aa">
    <w:name w:val="header"/>
    <w:basedOn w:val="a"/>
    <w:link w:val="ab"/>
    <w:uiPriority w:val="99"/>
    <w:rsid w:val="00E3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9C005F"/>
    <w:pPr>
      <w:ind w:leftChars="200" w:left="480"/>
    </w:pPr>
    <w:rPr>
      <w:rFonts w:ascii="Calibri" w:hAnsi="Calibri"/>
      <w:szCs w:val="22"/>
    </w:rPr>
  </w:style>
  <w:style w:type="character" w:customStyle="1" w:styleId="ab">
    <w:name w:val="頁首 字元"/>
    <w:link w:val="aa"/>
    <w:uiPriority w:val="99"/>
    <w:rsid w:val="001C2352"/>
    <w:rPr>
      <w:kern w:val="2"/>
    </w:rPr>
  </w:style>
  <w:style w:type="paragraph" w:styleId="ad">
    <w:name w:val="Balloon Text"/>
    <w:basedOn w:val="a"/>
    <w:link w:val="ae"/>
    <w:uiPriority w:val="99"/>
    <w:unhideWhenUsed/>
    <w:rsid w:val="001C2352"/>
    <w:pPr>
      <w:widowControl/>
      <w:spacing w:after="200" w:line="276" w:lineRule="auto"/>
    </w:pPr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rsid w:val="001C2352"/>
    <w:rPr>
      <w:rFonts w:ascii="Cambria" w:hAnsi="Cambria"/>
      <w:sz w:val="18"/>
      <w:szCs w:val="18"/>
    </w:rPr>
  </w:style>
  <w:style w:type="paragraph" w:customStyle="1" w:styleId="Default">
    <w:name w:val="Default"/>
    <w:rsid w:val="001C235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uto-style107">
    <w:name w:val="auto-style107"/>
    <w:rsid w:val="000B302C"/>
  </w:style>
  <w:style w:type="character" w:customStyle="1" w:styleId="a5">
    <w:name w:val="本文 字元"/>
    <w:link w:val="a4"/>
    <w:rsid w:val="00627481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0DB9-951D-43F2-AEF7-DCD85863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aici-06</dc:creator>
  <cp:keywords/>
  <cp:lastModifiedBy>AICI-01</cp:lastModifiedBy>
  <cp:revision>4</cp:revision>
  <dcterms:created xsi:type="dcterms:W3CDTF">2021-12-02T03:06:00Z</dcterms:created>
  <dcterms:modified xsi:type="dcterms:W3CDTF">2021-12-02T06:32:00Z</dcterms:modified>
</cp:coreProperties>
</file>