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C7FE1" w:rsidP="00A43B16">
            <w:pPr>
              <w:autoSpaceDE w:val="0"/>
              <w:autoSpaceDN w:val="0"/>
              <w:adjustRightInd w:val="0"/>
              <w:rPr>
                <w:rFonts w:ascii="新細明體" w:hAnsi="新細明體"/>
                <w:b/>
                <w:spacing w:val="12"/>
              </w:rPr>
            </w:pPr>
            <w:r w:rsidRPr="002C7FE1">
              <w:rPr>
                <w:rFonts w:ascii="新細明體" w:hAnsi="新細明體" w:hint="eastAsia"/>
                <w:b/>
                <w:spacing w:val="12"/>
              </w:rPr>
              <w:t>專案管理班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緣由：跨越21世紀的企業生存競爭策略，需要公司跨部門同心共識一致的團隊合作，才能因應、整合內外環境的競爭變化與資源合宜的分配，專案管理的良</w:t>
            </w:r>
            <w:proofErr w:type="gramStart"/>
            <w:r w:rsidRPr="00B14DF2">
              <w:rPr>
                <w:rFonts w:ascii="新細明體" w:hAnsi="新細明體" w:hint="eastAsia"/>
                <w:spacing w:val="-6"/>
                <w:sz w:val="20"/>
                <w:szCs w:val="20"/>
              </w:rPr>
              <w:t>窳</w:t>
            </w:r>
            <w:proofErr w:type="gramEnd"/>
            <w:r w:rsidRPr="00B14DF2">
              <w:rPr>
                <w:rFonts w:ascii="新細明體" w:hAnsi="新細明體" w:hint="eastAsia"/>
                <w:spacing w:val="-6"/>
                <w:sz w:val="20"/>
                <w:szCs w:val="20"/>
              </w:rPr>
              <w:t>影響專案成功至大，以提高競爭力。</w:t>
            </w:r>
          </w:p>
          <w:p w:rsid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學科：上完本課程後學員應可學到下列知識或技能</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:1.瞭解專案環境的重要性並知道如何作環境掃描。</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2.瞭解專案生命週期的定義及現象，並知道專案規劃的重要性及方法</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3.知道如何做專案規劃及不確定情況下如何估計時程及成本。及壓縮時程的方法</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4.知道如何做專案風險管理</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5.瞭解專案管控及生命週期成本觀念</w:t>
            </w:r>
          </w:p>
          <w:p w:rsidR="00B14DF2" w:rsidRPr="00B14DF2" w:rsidRDefault="00B14DF2" w:rsidP="00B14DF2">
            <w:pPr>
              <w:autoSpaceDE w:val="0"/>
              <w:autoSpaceDN w:val="0"/>
              <w:adjustRightInd w:val="0"/>
              <w:rPr>
                <w:rFonts w:ascii="新細明體" w:hAnsi="新細明體" w:hint="eastAsia"/>
                <w:spacing w:val="-6"/>
                <w:sz w:val="20"/>
                <w:szCs w:val="20"/>
              </w:rPr>
            </w:pPr>
            <w:r w:rsidRPr="00B14DF2">
              <w:rPr>
                <w:rFonts w:ascii="新細明體" w:hAnsi="新細明體" w:hint="eastAsia"/>
                <w:spacing w:val="-6"/>
                <w:sz w:val="20"/>
                <w:szCs w:val="20"/>
              </w:rPr>
              <w:t>技能：專案管理的良</w:t>
            </w:r>
            <w:proofErr w:type="gramStart"/>
            <w:r w:rsidRPr="00B14DF2">
              <w:rPr>
                <w:rFonts w:ascii="新細明體" w:hAnsi="新細明體" w:hint="eastAsia"/>
                <w:spacing w:val="-6"/>
                <w:sz w:val="20"/>
                <w:szCs w:val="20"/>
              </w:rPr>
              <w:t>窳</w:t>
            </w:r>
            <w:proofErr w:type="gramEnd"/>
            <w:r w:rsidRPr="00B14DF2">
              <w:rPr>
                <w:rFonts w:ascii="新細明體" w:hAnsi="新細明體" w:hint="eastAsia"/>
                <w:spacing w:val="-6"/>
                <w:sz w:val="20"/>
                <w:szCs w:val="20"/>
              </w:rPr>
              <w:t>影響專案成功至大，本課程讓參與者瞭解實用的專案管理工具，強調預</w:t>
            </w:r>
            <w:proofErr w:type="gramStart"/>
            <w:r w:rsidRPr="00B14DF2">
              <w:rPr>
                <w:rFonts w:ascii="新細明體" w:hAnsi="新細明體" w:hint="eastAsia"/>
                <w:spacing w:val="-6"/>
                <w:sz w:val="20"/>
                <w:szCs w:val="20"/>
              </w:rPr>
              <w:t>應式的專案</w:t>
            </w:r>
            <w:proofErr w:type="gramEnd"/>
            <w:r w:rsidRPr="00B14DF2">
              <w:rPr>
                <w:rFonts w:ascii="新細明體" w:hAnsi="新細明體" w:hint="eastAsia"/>
                <w:spacing w:val="-6"/>
                <w:sz w:val="20"/>
                <w:szCs w:val="20"/>
              </w:rPr>
              <w:t>管理(事先預防問題於其發生之前)，以及交換專案管理上的實務經驗。</w:t>
            </w:r>
          </w:p>
          <w:p w:rsidR="00C16D04" w:rsidRPr="00B14DF2" w:rsidRDefault="00B14DF2" w:rsidP="00B14DF2">
            <w:pPr>
              <w:autoSpaceDE w:val="0"/>
              <w:autoSpaceDN w:val="0"/>
              <w:adjustRightInd w:val="0"/>
              <w:rPr>
                <w:rFonts w:ascii="新細明體" w:hAnsi="新細明體"/>
                <w:spacing w:val="-6"/>
                <w:sz w:val="20"/>
                <w:szCs w:val="20"/>
              </w:rPr>
            </w:pPr>
            <w:r w:rsidRPr="00B14DF2">
              <w:rPr>
                <w:rFonts w:ascii="新細明體" w:hAnsi="新細明體" w:hint="eastAsia"/>
                <w:spacing w:val="-6"/>
                <w:sz w:val="20"/>
                <w:szCs w:val="20"/>
              </w:rPr>
              <w:t>品德：學習</w:t>
            </w:r>
            <w:proofErr w:type="gramStart"/>
            <w:r w:rsidRPr="00B14DF2">
              <w:rPr>
                <w:rFonts w:ascii="新細明體" w:hAnsi="新細明體" w:hint="eastAsia"/>
                <w:spacing w:val="-6"/>
                <w:sz w:val="20"/>
                <w:szCs w:val="20"/>
              </w:rPr>
              <w:t>千垂百</w:t>
            </w:r>
            <w:proofErr w:type="gramEnd"/>
            <w:r w:rsidRPr="00B14DF2">
              <w:rPr>
                <w:rFonts w:ascii="新細明體" w:hAnsi="新細明體" w:hint="eastAsia"/>
                <w:spacing w:val="-6"/>
                <w:sz w:val="20"/>
                <w:szCs w:val="20"/>
              </w:rPr>
              <w:t>煉的專案管理與領導訣竅，並成功的規劃、執行與專案管控之秘訣。</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hint="eastAsia"/>
                <w:spacing w:val="-6"/>
              </w:rPr>
            </w:pPr>
            <w:r w:rsidRPr="00503D78">
              <w:rPr>
                <w:rFonts w:ascii="新細明體" w:hAnsi="新細明體" w:hint="eastAsia"/>
                <w:spacing w:val="-6"/>
              </w:rPr>
              <w:t>2013/</w:t>
            </w:r>
            <w:r w:rsidR="00B14DF2">
              <w:rPr>
                <w:rFonts w:ascii="新細明體" w:hAnsi="新細明體" w:hint="eastAsia"/>
                <w:spacing w:val="-6"/>
              </w:rPr>
              <w:t>3</w:t>
            </w:r>
            <w:r w:rsidRPr="00503D78">
              <w:rPr>
                <w:rFonts w:ascii="新細明體" w:hAnsi="新細明體" w:hint="eastAsia"/>
                <w:spacing w:val="-6"/>
              </w:rPr>
              <w:t>/</w:t>
            </w:r>
            <w:r w:rsidR="00B14DF2">
              <w:rPr>
                <w:rFonts w:ascii="新細明體" w:hAnsi="新細明體" w:hint="eastAsia"/>
                <w:spacing w:val="-6"/>
              </w:rPr>
              <w:t>2</w:t>
            </w:r>
            <w:r w:rsidR="00046109">
              <w:rPr>
                <w:rFonts w:ascii="新細明體" w:hAnsi="新細明體" w:hint="eastAsia"/>
                <w:spacing w:val="-6"/>
              </w:rPr>
              <w:t>3</w:t>
            </w:r>
            <w:r w:rsidR="00ED28EC">
              <w:rPr>
                <w:rFonts w:ascii="新細明體" w:hAnsi="新細明體" w:hint="eastAsia"/>
                <w:spacing w:val="-6"/>
              </w:rPr>
              <w:t xml:space="preserve"> </w:t>
            </w:r>
            <w:r w:rsidR="00314FC2" w:rsidRPr="00503D78">
              <w:rPr>
                <w:rFonts w:ascii="新細明體" w:hAnsi="新細明體" w:hint="eastAsia"/>
                <w:spacing w:val="-6"/>
              </w:rPr>
              <w:t>(8小時)</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1. 專案管理發展趨勢</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2.專案管理概論--專案組織、專案成功關鍵因素、可行性評估</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3. 專案環境</w:t>
            </w:r>
            <w:proofErr w:type="gramStart"/>
            <w:r w:rsidRPr="00B14DF2">
              <w:rPr>
                <w:rFonts w:ascii="新細明體" w:hAnsi="新細明體" w:hint="eastAsia"/>
                <w:spacing w:val="-6"/>
              </w:rPr>
              <w:t>—</w:t>
            </w:r>
            <w:proofErr w:type="gramEnd"/>
            <w:r w:rsidRPr="00B14DF2">
              <w:rPr>
                <w:rFonts w:ascii="新細明體" w:hAnsi="新細明體" w:hint="eastAsia"/>
                <w:spacing w:val="-6"/>
              </w:rPr>
              <w:t xml:space="preserve">內部的、外部的 </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4. 專案管理與生命週期--發起、規劃、執行、控制及結束</w:t>
            </w:r>
          </w:p>
          <w:p w:rsidR="00756E0B" w:rsidRDefault="00314FC2" w:rsidP="00B14DF2">
            <w:pPr>
              <w:autoSpaceDE w:val="0"/>
              <w:autoSpaceDN w:val="0"/>
              <w:adjustRightInd w:val="0"/>
              <w:rPr>
                <w:rFonts w:ascii="新細明體" w:hAnsi="新細明體"/>
                <w:spacing w:val="-6"/>
              </w:rPr>
            </w:pPr>
            <w:r w:rsidRPr="00503D78">
              <w:rPr>
                <w:rFonts w:ascii="新細明體" w:hAnsi="新細明體" w:hint="eastAsia"/>
                <w:spacing w:val="-6"/>
              </w:rPr>
              <w:t>2013/</w:t>
            </w:r>
            <w:r w:rsidR="00B14DF2">
              <w:rPr>
                <w:rFonts w:ascii="新細明體" w:hAnsi="新細明體" w:hint="eastAsia"/>
                <w:spacing w:val="-6"/>
              </w:rPr>
              <w:t>3</w:t>
            </w:r>
            <w:r w:rsidRPr="00503D78">
              <w:rPr>
                <w:rFonts w:ascii="新細明體" w:hAnsi="新細明體" w:hint="eastAsia"/>
                <w:spacing w:val="-6"/>
              </w:rPr>
              <w:t>/</w:t>
            </w:r>
            <w:r w:rsidR="00B14DF2">
              <w:rPr>
                <w:rFonts w:ascii="新細明體" w:hAnsi="新細明體" w:hint="eastAsia"/>
                <w:spacing w:val="-6"/>
              </w:rPr>
              <w:t>2</w:t>
            </w:r>
            <w:r w:rsidR="00046109">
              <w:rPr>
                <w:rFonts w:ascii="新細明體" w:hAnsi="新細明體" w:hint="eastAsia"/>
                <w:spacing w:val="-6"/>
              </w:rPr>
              <w:t>4</w:t>
            </w:r>
            <w:r w:rsidRPr="00503D78">
              <w:rPr>
                <w:rFonts w:ascii="新細明體" w:hAnsi="新細明體" w:hint="eastAsia"/>
                <w:spacing w:val="-6"/>
              </w:rPr>
              <w:t xml:space="preserve"> (8小時)</w:t>
            </w:r>
          </w:p>
          <w:p w:rsidR="00046109"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5. 專案規劃--目標、範圍、WBS、進度、成本&amp;預算、風險、專案</w:t>
            </w:r>
            <w:proofErr w:type="gramStart"/>
            <w:r w:rsidRPr="00B14DF2">
              <w:rPr>
                <w:rFonts w:ascii="新細明體" w:hAnsi="新細明體" w:hint="eastAsia"/>
                <w:spacing w:val="-6"/>
              </w:rPr>
              <w:t>規</w:t>
            </w:r>
            <w:proofErr w:type="gramEnd"/>
            <w:r w:rsidRPr="00B14DF2">
              <w:rPr>
                <w:rFonts w:ascii="新細明體" w:hAnsi="新細明體" w:hint="eastAsia"/>
                <w:spacing w:val="-6"/>
              </w:rPr>
              <w:t>畫案例)</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6. 專案執行與控制</w:t>
            </w:r>
            <w:proofErr w:type="gramStart"/>
            <w:r w:rsidRPr="00B14DF2">
              <w:rPr>
                <w:rFonts w:ascii="新細明體" w:hAnsi="新細明體" w:hint="eastAsia"/>
                <w:spacing w:val="-6"/>
              </w:rPr>
              <w:t>—</w:t>
            </w:r>
            <w:proofErr w:type="gramEnd"/>
            <w:r w:rsidRPr="00B14DF2">
              <w:rPr>
                <w:rFonts w:ascii="新細明體" w:hAnsi="新細明體" w:hint="eastAsia"/>
                <w:spacing w:val="-6"/>
              </w:rPr>
              <w:t xml:space="preserve">進度與成本控制 </w:t>
            </w:r>
          </w:p>
          <w:p w:rsidR="00B14DF2" w:rsidRDefault="00B14DF2" w:rsidP="00B14DF2">
            <w:pPr>
              <w:autoSpaceDE w:val="0"/>
              <w:autoSpaceDN w:val="0"/>
              <w:adjustRightInd w:val="0"/>
              <w:rPr>
                <w:rFonts w:ascii="新細明體" w:hAnsi="新細明體" w:hint="eastAsia"/>
                <w:spacing w:val="-6"/>
              </w:rPr>
            </w:pPr>
            <w:r w:rsidRPr="00B14DF2">
              <w:rPr>
                <w:rFonts w:ascii="新細明體" w:hAnsi="新細明體" w:hint="eastAsia"/>
                <w:spacing w:val="-6"/>
              </w:rPr>
              <w:t>7. 專案管理經驗分享</w:t>
            </w:r>
          </w:p>
          <w:p w:rsidR="00B14DF2" w:rsidRPr="00B14DF2" w:rsidRDefault="00B14DF2" w:rsidP="00B14DF2">
            <w:pPr>
              <w:autoSpaceDE w:val="0"/>
              <w:autoSpaceDN w:val="0"/>
              <w:adjustRightInd w:val="0"/>
              <w:rPr>
                <w:rFonts w:ascii="新細明體" w:hAnsi="新細明體" w:hint="eastAsia"/>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59029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9029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lastRenderedPageBreak/>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9029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2C7FE1">
            <w:pPr>
              <w:rPr>
                <w:rFonts w:ascii="新細明體" w:hAnsi="新細明體" w:cs="Arial"/>
                <w:b/>
                <w:bCs/>
              </w:rPr>
            </w:pPr>
            <w:r w:rsidRPr="00CC18D4">
              <w:rPr>
                <w:rFonts w:ascii="新細明體" w:hAnsi="新細明體" w:cs="Arial" w:hint="eastAsia"/>
                <w:b/>
                <w:bCs/>
              </w:rPr>
              <w:t>201</w:t>
            </w:r>
            <w:r w:rsidR="00630BE0">
              <w:rPr>
                <w:rFonts w:ascii="新細明體" w:hAnsi="新細明體" w:cs="Arial" w:hint="eastAsia"/>
                <w:b/>
                <w:bCs/>
              </w:rPr>
              <w:t>3</w:t>
            </w:r>
            <w:r w:rsidRPr="00CC18D4">
              <w:rPr>
                <w:rFonts w:ascii="新細明體" w:hAnsi="新細明體" w:cs="Arial" w:hint="eastAsia"/>
                <w:b/>
                <w:bCs/>
              </w:rPr>
              <w:t>/</w:t>
            </w:r>
            <w:r w:rsidR="002C7FE1">
              <w:rPr>
                <w:rFonts w:ascii="新細明體" w:hAnsi="新細明體" w:cs="Arial" w:hint="eastAsia"/>
                <w:b/>
                <w:bCs/>
              </w:rPr>
              <w:t>2</w:t>
            </w:r>
            <w:r w:rsidRPr="00CC18D4">
              <w:rPr>
                <w:rFonts w:ascii="新細明體" w:hAnsi="新細明體" w:cs="Arial" w:hint="eastAsia"/>
                <w:b/>
                <w:bCs/>
              </w:rPr>
              <w:t>/</w:t>
            </w:r>
            <w:r w:rsidR="002C7FE1">
              <w:rPr>
                <w:rFonts w:ascii="新細明體" w:hAnsi="新細明體" w:cs="Arial" w:hint="eastAsia"/>
                <w:b/>
                <w:bCs/>
              </w:rPr>
              <w:t>2</w:t>
            </w:r>
            <w:r w:rsidR="00C53C78">
              <w:rPr>
                <w:rFonts w:ascii="新細明體" w:hAnsi="新細明體" w:cs="Arial" w:hint="eastAsia"/>
                <w:b/>
                <w:bCs/>
              </w:rPr>
              <w:t>3</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w:t>
            </w:r>
            <w:r w:rsidR="002C7FE1">
              <w:rPr>
                <w:rFonts w:ascii="新細明體" w:hAnsi="新細明體" w:cs="Arial" w:hint="eastAsia"/>
                <w:b/>
                <w:bCs/>
              </w:rPr>
              <w:t>3</w:t>
            </w:r>
            <w:r w:rsidR="00851627">
              <w:rPr>
                <w:rFonts w:ascii="新細明體" w:hAnsi="新細明體" w:cs="Arial" w:hint="eastAsia"/>
                <w:b/>
                <w:bCs/>
              </w:rPr>
              <w:t>/</w:t>
            </w:r>
            <w:r w:rsidR="002C7FE1">
              <w:rPr>
                <w:rFonts w:ascii="新細明體" w:hAnsi="新細明體" w:cs="Arial" w:hint="eastAsia"/>
                <w:b/>
                <w:bCs/>
              </w:rPr>
              <w:t>20</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53C78" w:rsidP="002C7FE1">
            <w:pPr>
              <w:rPr>
                <w:rFonts w:ascii="新細明體" w:hAnsi="新細明體" w:cs="Arial"/>
                <w:b/>
                <w:bCs/>
              </w:rPr>
            </w:pPr>
            <w:r w:rsidRPr="00C53C78">
              <w:rPr>
                <w:rFonts w:ascii="新細明體" w:hAnsi="新細明體" w:cs="Arial" w:hint="eastAsia"/>
                <w:b/>
                <w:bCs/>
              </w:rPr>
              <w:t>2013/</w:t>
            </w:r>
            <w:r w:rsidR="002C7FE1">
              <w:rPr>
                <w:rFonts w:ascii="新細明體" w:hAnsi="新細明體" w:cs="Arial" w:hint="eastAsia"/>
                <w:b/>
                <w:bCs/>
              </w:rPr>
              <w:t>3</w:t>
            </w:r>
            <w:r w:rsidRPr="00C53C78">
              <w:rPr>
                <w:rFonts w:ascii="新細明體" w:hAnsi="新細明體" w:cs="Arial" w:hint="eastAsia"/>
                <w:b/>
                <w:bCs/>
              </w:rPr>
              <w:t>/</w:t>
            </w:r>
            <w:r w:rsidR="002C7FE1">
              <w:rPr>
                <w:rFonts w:ascii="新細明體" w:hAnsi="新細明體" w:cs="Arial" w:hint="eastAsia"/>
                <w:b/>
                <w:bCs/>
              </w:rPr>
              <w:t>2</w:t>
            </w:r>
            <w:r w:rsidRPr="00C53C78">
              <w:rPr>
                <w:rFonts w:ascii="新細明體" w:hAnsi="新細明體" w:cs="Arial" w:hint="eastAsia"/>
                <w:b/>
                <w:bCs/>
              </w:rPr>
              <w:t>3，</w:t>
            </w:r>
            <w:r w:rsidR="002C7FE1">
              <w:rPr>
                <w:rFonts w:ascii="新細明體" w:hAnsi="新細明體" w:cs="Arial" w:hint="eastAsia"/>
                <w:b/>
                <w:bCs/>
              </w:rPr>
              <w:t>3</w:t>
            </w:r>
            <w:r w:rsidRPr="00C53C78">
              <w:rPr>
                <w:rFonts w:ascii="新細明體" w:hAnsi="新細明體" w:cs="Arial" w:hint="eastAsia"/>
                <w:b/>
                <w:bCs/>
              </w:rPr>
              <w:t>/</w:t>
            </w:r>
            <w:r w:rsidR="002C7FE1">
              <w:rPr>
                <w:rFonts w:ascii="新細明體" w:hAnsi="新細明體" w:cs="Arial" w:hint="eastAsia"/>
                <w:b/>
                <w:bCs/>
              </w:rPr>
              <w:t>2</w:t>
            </w:r>
            <w:r w:rsidRPr="00C53C78">
              <w:rPr>
                <w:rFonts w:ascii="新細明體" w:hAnsi="新細明體" w:cs="Arial" w:hint="eastAsia"/>
                <w:b/>
                <w:bCs/>
              </w:rPr>
              <w:t>4</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53C78" w:rsidRPr="00CC18D4" w:rsidTr="00014E90">
              <w:trPr>
                <w:trHeight w:val="799"/>
              </w:trPr>
              <w:tc>
                <w:tcPr>
                  <w:tcW w:w="1559" w:type="dxa"/>
                  <w:tcBorders>
                    <w:top w:val="nil"/>
                    <w:bottom w:val="dotted" w:sz="4" w:space="0" w:color="auto"/>
                  </w:tcBorders>
                  <w:shd w:val="clear" w:color="auto" w:fill="D1D1D1"/>
                  <w:vAlign w:val="center"/>
                </w:tcPr>
                <w:p w:rsidR="00C53C78" w:rsidRPr="00CC18D4" w:rsidRDefault="002C7FE1" w:rsidP="00C53C78">
                  <w:pPr>
                    <w:numPr>
                      <w:ilvl w:val="0"/>
                      <w:numId w:val="2"/>
                    </w:numPr>
                    <w:snapToGrid w:val="0"/>
                    <w:spacing w:line="0" w:lineRule="atLeast"/>
                    <w:rPr>
                      <w:rFonts w:ascii="新細明體" w:hAnsi="新細明體"/>
                      <w:spacing w:val="-6"/>
                      <w:sz w:val="20"/>
                      <w:szCs w:val="20"/>
                    </w:rPr>
                  </w:pPr>
                  <w:r w:rsidRPr="002C7FE1">
                    <w:rPr>
                      <w:rFonts w:ascii="新細明體" w:hAnsi="新細明體" w:hint="eastAsia"/>
                      <w:spacing w:val="-6"/>
                      <w:sz w:val="20"/>
                      <w:szCs w:val="20"/>
                    </w:rPr>
                    <w:t>魏賜</w:t>
                  </w:r>
                  <w:r>
                    <w:rPr>
                      <w:rFonts w:ascii="新細明體" w:hAnsi="新細明體" w:hint="eastAsia"/>
                      <w:spacing w:val="-6"/>
                      <w:sz w:val="20"/>
                      <w:szCs w:val="20"/>
                    </w:rPr>
                    <w:t>聰</w:t>
                  </w:r>
                  <w:r w:rsidR="00C53C78">
                    <w:rPr>
                      <w:rFonts w:ascii="新細明體" w:hAnsi="新細明體" w:hint="eastAsia"/>
                      <w:spacing w:val="-6"/>
                      <w:sz w:val="20"/>
                      <w:szCs w:val="20"/>
                    </w:rPr>
                    <w:t xml:space="preserve"> 老師</w:t>
                  </w:r>
                </w:p>
              </w:tc>
              <w:tc>
                <w:tcPr>
                  <w:tcW w:w="1403" w:type="dxa"/>
                  <w:tcBorders>
                    <w:top w:val="nil"/>
                    <w:bottom w:val="dotted" w:sz="4" w:space="0" w:color="auto"/>
                  </w:tcBorders>
                  <w:shd w:val="clear" w:color="auto" w:fill="D1D1D1"/>
                  <w:vAlign w:val="center"/>
                </w:tcPr>
                <w:p w:rsidR="00C53C78" w:rsidRPr="00CC18D4" w:rsidRDefault="00C53C78" w:rsidP="00C53C78">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53C78" w:rsidRPr="00CC18D4" w:rsidRDefault="002C7FE1" w:rsidP="002C7FE1">
                  <w:pPr>
                    <w:numPr>
                      <w:ilvl w:val="0"/>
                      <w:numId w:val="2"/>
                    </w:numPr>
                    <w:snapToGrid w:val="0"/>
                    <w:spacing w:line="0" w:lineRule="atLeast"/>
                    <w:rPr>
                      <w:rFonts w:ascii="新細明體" w:hAnsi="新細明體"/>
                      <w:spacing w:val="-6"/>
                      <w:sz w:val="20"/>
                      <w:szCs w:val="20"/>
                    </w:rPr>
                  </w:pPr>
                  <w:r w:rsidRPr="002C7FE1">
                    <w:rPr>
                      <w:rFonts w:ascii="新細明體" w:hAnsi="新細明體" w:hint="eastAsia"/>
                      <w:spacing w:val="-6"/>
                      <w:sz w:val="20"/>
                      <w:szCs w:val="20"/>
                    </w:rPr>
                    <w:t>各式專案管理、研發專案管理、經營專案管理、行銷專案管理、自動化工程、製程、品質、製造、開發設計、改善。</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2C7FE1">
              <w:rPr>
                <w:rFonts w:ascii="新細明體" w:hAnsi="新細明體" w:cs="新細明體" w:hint="eastAsia"/>
                <w:b/>
                <w:color w:val="FF0000"/>
                <w:kern w:val="0"/>
                <w:sz w:val="28"/>
                <w:szCs w:val="28"/>
              </w:rPr>
              <w:t>3680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2C7FE1">
              <w:rPr>
                <w:rFonts w:ascii="新細明體" w:hAnsi="新細明體" w:cs="新細明體" w:hint="eastAsia"/>
                <w:b/>
                <w:color w:val="FF0000"/>
                <w:kern w:val="0"/>
                <w:sz w:val="28"/>
                <w:szCs w:val="28"/>
              </w:rPr>
              <w:t>2944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2C7FE1">
              <w:rPr>
                <w:rFonts w:ascii="新細明體" w:hAnsi="新細明體" w:cs="新細明體" w:hint="eastAsia"/>
                <w:b/>
                <w:color w:val="FF0000"/>
                <w:kern w:val="0"/>
                <w:sz w:val="28"/>
                <w:szCs w:val="28"/>
              </w:rPr>
              <w:t>736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lastRenderedPageBreak/>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lastRenderedPageBreak/>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2C7FE1" w:rsidRPr="002C7FE1">
              <w:rPr>
                <w:rFonts w:ascii="新細明體" w:hAnsi="新細明體" w:hint="eastAsia"/>
                <w:b/>
                <w:color w:val="000000"/>
                <w:spacing w:val="46"/>
                <w:sz w:val="28"/>
                <w:szCs w:val="28"/>
              </w:rPr>
              <w:t>專案管理班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103B23"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103B23"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2C7FE1">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2C7FE1">
              <w:rPr>
                <w:rFonts w:ascii="新細明體" w:hAnsi="新細明體" w:hint="eastAsia"/>
                <w:bCs/>
                <w:color w:val="111111"/>
              </w:rPr>
              <w:t>3</w:t>
            </w:r>
            <w:r w:rsidRPr="00314FC2">
              <w:rPr>
                <w:rFonts w:ascii="新細明體" w:hAnsi="新細明體" w:hint="eastAsia"/>
                <w:bCs/>
                <w:color w:val="111111"/>
              </w:rPr>
              <w:t>/</w:t>
            </w:r>
            <w:r w:rsidR="002C7FE1">
              <w:rPr>
                <w:rFonts w:ascii="新細明體" w:hAnsi="新細明體" w:hint="eastAsia"/>
                <w:bCs/>
                <w:color w:val="111111"/>
              </w:rPr>
              <w:t>2</w:t>
            </w:r>
            <w:r w:rsidR="00C53C78">
              <w:rPr>
                <w:rFonts w:ascii="新細明體" w:hAnsi="新細明體" w:hint="eastAsia"/>
                <w:bCs/>
                <w:color w:val="111111"/>
              </w:rPr>
              <w:t>3</w:t>
            </w:r>
            <w:r w:rsidRPr="00314FC2">
              <w:rPr>
                <w:rFonts w:ascii="新細明體" w:hAnsi="新細明體" w:hint="eastAsia"/>
                <w:bCs/>
                <w:color w:val="111111"/>
              </w:rPr>
              <w:t>，</w:t>
            </w:r>
            <w:r w:rsidR="002C7FE1">
              <w:rPr>
                <w:rFonts w:ascii="新細明體" w:hAnsi="新細明體" w:hint="eastAsia"/>
                <w:bCs/>
                <w:color w:val="111111"/>
              </w:rPr>
              <w:t>3</w:t>
            </w:r>
            <w:r w:rsidR="00851627">
              <w:rPr>
                <w:rFonts w:ascii="新細明體" w:hAnsi="新細明體" w:hint="eastAsia"/>
                <w:bCs/>
                <w:color w:val="111111"/>
              </w:rPr>
              <w:t>/</w:t>
            </w:r>
            <w:r w:rsidR="002C7FE1">
              <w:rPr>
                <w:rFonts w:ascii="新細明體" w:hAnsi="新細明體" w:hint="eastAsia"/>
                <w:bCs/>
                <w:color w:val="111111"/>
              </w:rPr>
              <w:t>2</w:t>
            </w:r>
            <w:r w:rsidR="00C53C78">
              <w:rPr>
                <w:rFonts w:ascii="新細明體" w:hAnsi="新細明體" w:hint="eastAsia"/>
                <w:bCs/>
                <w:color w:val="111111"/>
              </w:rPr>
              <w:t>4</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2C7FE1">
              <w:rPr>
                <w:rFonts w:ascii="新細明體" w:hAnsi="新細明體" w:hint="eastAsia"/>
                <w:b/>
                <w:bCs/>
                <w:color w:val="FF0000"/>
              </w:rPr>
              <w:t>3680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2C7FE1">
              <w:rPr>
                <w:rFonts w:ascii="新細明體" w:hAnsi="新細明體" w:cs="新細明體" w:hint="eastAsia"/>
                <w:color w:val="000000"/>
                <w:kern w:val="0"/>
                <w:sz w:val="20"/>
                <w:szCs w:val="20"/>
              </w:rPr>
              <w:t>2944</w:t>
            </w:r>
            <w:r w:rsidR="00EC2995" w:rsidRPr="00D85ACB">
              <w:rPr>
                <w:rFonts w:ascii="新細明體" w:hAnsi="新細明體" w:cs="新細明體" w:hint="eastAsia"/>
                <w:color w:val="000000"/>
                <w:kern w:val="0"/>
                <w:sz w:val="20"/>
                <w:szCs w:val="20"/>
              </w:rPr>
              <w:t>，參訓學員自行負擔$</w:t>
            </w:r>
            <w:r w:rsidR="002C7FE1">
              <w:rPr>
                <w:rFonts w:ascii="新細明體" w:hAnsi="新細明體" w:cs="新細明體" w:hint="eastAsia"/>
                <w:color w:val="000000"/>
                <w:kern w:val="0"/>
                <w:sz w:val="20"/>
                <w:szCs w:val="20"/>
              </w:rPr>
              <w:t>736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B23" w:rsidRDefault="00103B23">
      <w:r>
        <w:separator/>
      </w:r>
    </w:p>
  </w:endnote>
  <w:endnote w:type="continuationSeparator" w:id="0">
    <w:p w:rsidR="00103B23" w:rsidRDefault="00103B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D678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B23" w:rsidRDefault="00103B23">
      <w:r>
        <w:separator/>
      </w:r>
    </w:p>
  </w:footnote>
  <w:footnote w:type="continuationSeparator" w:id="0">
    <w:p w:rsidR="00103B23" w:rsidRDefault="00103B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D678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46109"/>
    <w:rsid w:val="0005186D"/>
    <w:rsid w:val="00055542"/>
    <w:rsid w:val="000566EE"/>
    <w:rsid w:val="0005711A"/>
    <w:rsid w:val="00063A84"/>
    <w:rsid w:val="00064C98"/>
    <w:rsid w:val="00082EE2"/>
    <w:rsid w:val="0009045D"/>
    <w:rsid w:val="00096077"/>
    <w:rsid w:val="000A0DFD"/>
    <w:rsid w:val="000A3926"/>
    <w:rsid w:val="000B03A2"/>
    <w:rsid w:val="000D0E6C"/>
    <w:rsid w:val="000D34EB"/>
    <w:rsid w:val="000D4FD4"/>
    <w:rsid w:val="000E149E"/>
    <w:rsid w:val="000E3B9F"/>
    <w:rsid w:val="000E4583"/>
    <w:rsid w:val="000F04DE"/>
    <w:rsid w:val="000F152F"/>
    <w:rsid w:val="000F7B2F"/>
    <w:rsid w:val="00103B23"/>
    <w:rsid w:val="00105057"/>
    <w:rsid w:val="001137CC"/>
    <w:rsid w:val="00117D89"/>
    <w:rsid w:val="00136290"/>
    <w:rsid w:val="00141B04"/>
    <w:rsid w:val="00142D0E"/>
    <w:rsid w:val="0014465A"/>
    <w:rsid w:val="001556BE"/>
    <w:rsid w:val="001625AD"/>
    <w:rsid w:val="00162974"/>
    <w:rsid w:val="001645CA"/>
    <w:rsid w:val="00165F70"/>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C7FE1"/>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23"/>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C7C11"/>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2087"/>
    <w:rsid w:val="00B14DF2"/>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53C78"/>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65DBD"/>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2840"/>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5D22"/>
    <w:rsid w:val="00EC71D0"/>
    <w:rsid w:val="00ED0904"/>
    <w:rsid w:val="00ED0B2E"/>
    <w:rsid w:val="00ED1DE1"/>
    <w:rsid w:val="00ED28EC"/>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0D7F-FB57-4D4B-ABA3-D545314C9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4</cp:revision>
  <dcterms:created xsi:type="dcterms:W3CDTF">2012-12-05T08:06:00Z</dcterms:created>
  <dcterms:modified xsi:type="dcterms:W3CDTF">2012-12-05T08:11:00Z</dcterms:modified>
</cp:coreProperties>
</file>